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28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15"/>
        <w:gridCol w:w="5273"/>
        <w:gridCol w:w="2192"/>
      </w:tblGrid>
      <w:tr>
        <w:trPr/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632460" cy="739140"/>
                  <wp:effectExtent l="0" t="0" r="0" b="0"/>
                  <wp:docPr id="1" name="Obraz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208" t="-173" r="-208" b="-1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b/>
              </w:rPr>
              <w:t>KARTA  USŁUG - 15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Cs w:val="20"/>
              </w:rPr>
              <w:t xml:space="preserve">STAROSTWO  POWIATOWE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Cs w:val="20"/>
              </w:rPr>
              <w:t>W CIECHANOWIE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06-400 CIECHANÓW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ul. 17 STYCZNIA 7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tel.  729-055-900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poniedziałek –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piątek  8</w:t>
            </w:r>
            <w:r>
              <w:rPr>
                <w:sz w:val="20"/>
                <w:szCs w:val="20"/>
                <w:vertAlign w:val="superscript"/>
              </w:rPr>
              <w:t xml:space="preserve">00 </w:t>
            </w:r>
            <w:r>
              <w:rPr>
                <w:sz w:val="20"/>
                <w:szCs w:val="20"/>
              </w:rPr>
              <w:t>- 16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agwek3"/>
              <w:widowControl w:val="false"/>
              <w:numPr>
                <w:ilvl w:val="2"/>
                <w:numId w:val="2"/>
              </w:numPr>
              <w:snapToGrid w:val="false"/>
              <w:rPr>
                <w:szCs w:val="20"/>
                <w:vertAlign w:val="superscript"/>
              </w:rPr>
            </w:pPr>
            <w:r>
              <w:rPr>
                <w:szCs w:val="20"/>
                <w:vertAlign w:val="superscript"/>
              </w:rPr>
            </w:r>
          </w:p>
          <w:p>
            <w:pPr>
              <w:pStyle w:val="Nagwek3"/>
              <w:widowControl w:val="false"/>
              <w:numPr>
                <w:ilvl w:val="2"/>
                <w:numId w:val="2"/>
              </w:numPr>
              <w:snapToGrid w:val="false"/>
              <w:rPr/>
            </w:pPr>
            <w:r>
              <w:rPr/>
              <w:t xml:space="preserve"> </w:t>
            </w:r>
          </w:p>
          <w:p>
            <w:pPr>
              <w:pStyle w:val="Nagwek3"/>
              <w:widowControl w:val="false"/>
              <w:numPr>
                <w:ilvl w:val="2"/>
                <w:numId w:val="2"/>
              </w:numPr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agwek3"/>
              <w:widowControl w:val="false"/>
              <w:numPr>
                <w:ilvl w:val="2"/>
                <w:numId w:val="2"/>
              </w:numPr>
              <w:snapToGrid w:val="false"/>
              <w:rPr/>
            </w:pPr>
            <w:r>
              <w:rPr>
                <w:bCs/>
                <w:sz w:val="16"/>
                <w:szCs w:val="16"/>
              </w:rPr>
              <w:t>WYDZIAŁ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 w:val="16"/>
                <w:szCs w:val="16"/>
              </w:rPr>
              <w:t xml:space="preserve">     </w:t>
            </w:r>
            <w:r>
              <w:rPr>
                <w:b/>
                <w:bCs/>
                <w:sz w:val="16"/>
                <w:szCs w:val="16"/>
              </w:rPr>
              <w:t xml:space="preserve">ADMINISTRACJI        ARCHITEKTONICZNO -                 BUDOWLANEJ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 w:val="16"/>
                <w:szCs w:val="16"/>
              </w:rPr>
              <w:t xml:space="preserve">I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 w:val="16"/>
                <w:szCs w:val="16"/>
              </w:rPr>
              <w:t>INWESTYCJI</w:t>
            </w:r>
          </w:p>
          <w:p>
            <w:pPr>
              <w:pStyle w:val="Nagwek3"/>
              <w:widowControl w:val="false"/>
              <w:numPr>
                <w:ilvl w:val="2"/>
                <w:numId w:val="2"/>
              </w:numPr>
              <w:rPr/>
            </w:pPr>
            <w:r>
              <w:rPr/>
            </w:r>
          </w:p>
        </w:tc>
      </w:tr>
      <w:tr>
        <w:trPr/>
        <w:tc>
          <w:tcPr>
            <w:tcW w:w="92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I. TYTUŁ SPRAWY</w:t>
            </w:r>
          </w:p>
        </w:tc>
      </w:tr>
      <w:tr>
        <w:trPr>
          <w:trHeight w:val="913" w:hRule="atLeast"/>
        </w:trPr>
        <w:tc>
          <w:tcPr>
            <w:tcW w:w="92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WWTekstpodstawowy3"/>
              <w:widowControl w:val="false"/>
              <w:suppressAutoHyphens w:val="false"/>
              <w:snapToGrid w:val="false"/>
              <w:rPr/>
            </w:pPr>
            <w:r>
              <w:rPr/>
              <w:br/>
              <w:t xml:space="preserve">PRZENIESIENIE PRAW I OBOWIĄZKÓW WYNIKAJĄCYCH ZE ZGŁOSZENIA </w:t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2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II. PODSTAWA  PRAWNA</w:t>
            </w:r>
          </w:p>
        </w:tc>
      </w:tr>
      <w:tr>
        <w:trPr/>
        <w:tc>
          <w:tcPr>
            <w:tcW w:w="92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720" w:leader="none"/>
              </w:tabs>
              <w:jc w:val="both"/>
              <w:rPr/>
            </w:pPr>
            <w:r>
              <w:rPr/>
              <w:t>art. 40 ust. 4 w zw. z ust. 1 i ust. 5 pkt 3 ustawy z dnia 7 lipca 1994 roku - Prawo budowlane (Dz. U. z 2020 roku, poz. 1333 ze zm.)</w:t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2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III. GDZIE ZAŁATWIĆ SPRAWĘ</w:t>
            </w:r>
          </w:p>
        </w:tc>
      </w:tr>
      <w:tr>
        <w:trPr/>
        <w:tc>
          <w:tcPr>
            <w:tcW w:w="92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Podanie wraz z załącznikami składa się  w Biurze Obsługi Mieszkańców, parter.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Załatwiający sprawę: Referat Administracji Architektoniczno - Budowlanej: 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 </w:t>
            </w:r>
            <w:r>
              <w:rPr/>
              <w:t xml:space="preserve">- </w:t>
            </w:r>
            <w:r>
              <w:rPr>
                <w:b/>
                <w:bCs/>
              </w:rPr>
              <w:t>I piętro, pokój 118,  telefon:  729-055-922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u w:val="single"/>
              </w:rPr>
              <w:t>Kierownik Wydziału Andrzej Kalinowski</w:t>
            </w:r>
            <w:r>
              <w:rPr/>
              <w:t xml:space="preserve"> 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 </w:t>
            </w:r>
            <w:r>
              <w:rPr/>
              <w:t xml:space="preserve">- </w:t>
            </w:r>
            <w:r>
              <w:rPr>
                <w:b/>
                <w:bCs/>
              </w:rPr>
              <w:t>I piętro, pokój 117,  telefon:  729-055-923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u w:val="single"/>
              </w:rPr>
              <w:t>Kierownik Referatu Ewelina Bielska</w:t>
            </w:r>
            <w:r>
              <w:rPr/>
              <w:t xml:space="preserve"> 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/>
              <w:t xml:space="preserve">- </w:t>
            </w:r>
            <w:r>
              <w:rPr>
                <w:b/>
                <w:bCs/>
              </w:rPr>
              <w:t>I piętro, pokój 111,  telefon:  729-055-920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bCs/>
                <w:u w:val="single"/>
              </w:rPr>
              <w:t xml:space="preserve">Główny Specjalista Joanna Król </w:t>
            </w:r>
          </w:p>
          <w:p>
            <w:pPr>
              <w:pStyle w:val="Normal"/>
              <w:widowControl w:val="false"/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  <w:t>Podinspektor Olga Piasecka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bCs/>
                <w:u w:val="single"/>
              </w:rPr>
              <w:t>Pomoc administracyjna Edyta Żmijewska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>
                <w:b/>
                <w:bCs/>
              </w:rPr>
              <w:t>- I piętro, pokój 112, telefon:  729-055-921</w:t>
            </w:r>
            <w:r>
              <w:rPr/>
              <w:br/>
            </w:r>
            <w:r>
              <w:rPr>
                <w:u w:val="single"/>
              </w:rPr>
              <w:t xml:space="preserve">Główny </w:t>
            </w:r>
            <w:r>
              <w:rPr>
                <w:u w:val="single"/>
              </w:rPr>
              <w:t>Specjalista Anna Chodacz</w:t>
            </w:r>
            <w:r>
              <w:rPr/>
              <w:t xml:space="preserve"> </w:t>
            </w:r>
          </w:p>
          <w:p>
            <w:pPr>
              <w:pStyle w:val="Normal"/>
              <w:widowControl w:val="false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Główny </w:t>
            </w:r>
            <w:r>
              <w:rPr>
                <w:u w:val="single"/>
              </w:rPr>
              <w:t>Specjalista Małgorzata Gołębiewska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u w:val="single"/>
              </w:rPr>
              <w:t>Pomoc administracyjna Kamila Ostasz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</w:rPr>
              <w:t>- I piętro, pokój 113, telefon: 731-055-368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u w:val="single"/>
              </w:rPr>
              <w:t>Pomoc administracyjna Ewa Kowalska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u w:val="single"/>
              </w:rPr>
              <w:t>Pomoc administracyjna Katarzyna Piotrowska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</w:rPr>
              <w:t>W godzinach</w:t>
            </w:r>
            <w:r>
              <w:rPr/>
              <w:t xml:space="preserve"> - poniedziałek – piątek od godz. 8</w:t>
            </w:r>
            <w:r>
              <w:rPr>
                <w:vertAlign w:val="superscript"/>
              </w:rPr>
              <w:t xml:space="preserve"> 00</w:t>
            </w:r>
            <w:r>
              <w:rPr/>
              <w:t xml:space="preserve"> do godz. 15</w:t>
            </w:r>
            <w:r>
              <w:rPr>
                <w:vertAlign w:val="superscript"/>
              </w:rPr>
              <w:t xml:space="preserve"> 30</w:t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2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IV. CZAS ZAŁATWIENIA SPRAWY</w:t>
            </w:r>
          </w:p>
        </w:tc>
      </w:tr>
      <w:tr>
        <w:trPr/>
        <w:tc>
          <w:tcPr>
            <w:tcW w:w="92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napToGrid w:val="false"/>
              <w:spacing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Web"/>
              <w:widowControl w:val="false"/>
              <w:spacing w:before="0" w:after="0"/>
              <w:rPr/>
            </w:pPr>
            <w:r>
              <w:rPr>
                <w:rFonts w:cs="Times New Roman" w:ascii="Times New Roman" w:hAnsi="Times New Roman"/>
              </w:rPr>
              <w:t>Wydanie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decyzji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przenoszącej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pozwolenie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na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budowę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powinno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nastąpić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w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terminie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30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dni</w:t>
            </w:r>
            <w:r>
              <w:rPr>
                <w:rFonts w:eastAsia="Times New Roman" w:cs="Times New Roman" w:ascii="Times New Roman" w:hAnsi="Times New Roman"/>
              </w:rPr>
              <w:t>*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92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V.  WYMAGANE DOKUMENTY</w:t>
            </w:r>
          </w:p>
        </w:tc>
      </w:tr>
      <w:tr>
        <w:trPr>
          <w:trHeight w:val="141" w:hRule="atLeast"/>
        </w:trPr>
        <w:tc>
          <w:tcPr>
            <w:tcW w:w="92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nyWeb1"/>
              <w:widowControl w:val="false"/>
              <w:overflowPunct w:val="false"/>
              <w:snapToGrid w:val="false"/>
              <w:spacing w:before="0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Wniosek o przeniesienie praw i obowiązków wynikających ze zgłoszenia, wobec którego organ nie wniósł sprzeciwu (druk PB-11)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Załączniki: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720" w:leader="none"/>
              </w:tabs>
              <w:jc w:val="both"/>
              <w:rPr/>
            </w:pPr>
            <w:r>
              <w:rPr/>
              <w:t>oświadczenie strony, na rzecz której ma być przeniesienie pozwolenia na budowę,            iż przyjmuje wszystkie warunki zawarte w wydanej decyzji o pozwoleniu  na budowę,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720" w:leader="none"/>
              </w:tabs>
              <w:jc w:val="both"/>
              <w:rPr/>
            </w:pPr>
            <w:r>
              <w:rPr/>
              <w:t>oświadczenie strony, na rzecz której zostało wydane pozwolenie na budowę                                  o wyrażeniu zgody na przeniesienie pozwolenia na budowę na rzecz innego podmiotu,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720" w:leader="none"/>
              </w:tabs>
              <w:jc w:val="both"/>
              <w:rPr/>
            </w:pPr>
            <w:r>
              <w:rPr/>
              <w:t xml:space="preserve">oświadczenie o posiadanym prawie do dysponowania nieruchomością na cele budowlane, (druk </w:t>
            </w:r>
            <w:r>
              <w:rPr/>
              <w:t>PB-5</w:t>
            </w:r>
            <w:r>
              <w:rPr/>
              <w:t>)</w:t>
            </w:r>
          </w:p>
          <w:p>
            <w:pPr>
              <w:pStyle w:val="NormalnyWeb1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720" w:leader="none"/>
              </w:tabs>
              <w:overflowPunct w:val="false"/>
              <w:spacing w:before="0" w:after="0"/>
              <w:jc w:val="both"/>
              <w:rPr/>
            </w:pPr>
            <w:r>
              <w:rPr/>
              <w:t xml:space="preserve">dziennik budowy - do wglądu </w:t>
            </w:r>
          </w:p>
          <w:p>
            <w:pPr>
              <w:pStyle w:val="Normal"/>
              <w:widowControl w:val="false"/>
              <w:ind w:left="360" w:hanging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2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VI.  OPŁATY</w:t>
            </w:r>
          </w:p>
        </w:tc>
      </w:tr>
      <w:tr>
        <w:trPr/>
        <w:tc>
          <w:tcPr>
            <w:tcW w:w="92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720" w:leader="none"/>
              </w:tabs>
              <w:jc w:val="both"/>
              <w:rPr/>
            </w:pPr>
            <w:r>
              <w:rPr>
                <w:bCs/>
              </w:rPr>
              <w:t>opłata skarbowa za wydanie decyzji o przeniesieniu pozwolenia na budowę – 90 zł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jc w:val="both"/>
              <w:rPr/>
            </w:pPr>
            <w:r>
              <w:rPr>
                <w:bCs/>
              </w:rPr>
              <w:t>(budownictwo mieszkaniowe zwolnione jest z opłaty skarbowej)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720" w:leader="none"/>
              </w:tabs>
              <w:jc w:val="both"/>
              <w:rPr/>
            </w:pPr>
            <w:r>
              <w:rPr>
                <w:bCs/>
              </w:rPr>
              <w:t>w przypadku działania przez pełnomocnika - opłata skarbowa za dokument stwierdzający udzielenie pełnomocnictwa – 17 zł</w:t>
            </w:r>
          </w:p>
          <w:p>
            <w:pPr>
              <w:pStyle w:val="NormalWeb"/>
              <w:widowControl w:val="false"/>
              <w:spacing w:lineRule="atLeast" w:line="200" w:before="0" w:after="0"/>
              <w:jc w:val="both"/>
              <w:rPr/>
            </w:pPr>
            <w:r>
              <w:rPr/>
            </w:r>
          </w:p>
          <w:p>
            <w:pPr>
              <w:pStyle w:val="NormalWeb"/>
              <w:widowControl w:val="false"/>
              <w:spacing w:lineRule="atLeast" w:line="20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Opłaty </w:t>
            </w:r>
            <w:r>
              <w:rPr>
                <w:rFonts w:cs="Times New Roman" w:ascii="Times New Roman" w:hAnsi="Times New Roman"/>
              </w:rPr>
              <w:t>skarbowe</w:t>
            </w:r>
            <w:r>
              <w:rPr>
                <w:rFonts w:eastAsia="Times New Roman" w:cs="Times New Roman" w:ascii="Times New Roman" w:hAnsi="Times New Roman"/>
              </w:rPr>
              <w:t xml:space="preserve">  </w:t>
            </w:r>
            <w:r>
              <w:rPr>
                <w:rFonts w:cs="Times New Roman" w:ascii="Times New Roman" w:hAnsi="Times New Roman"/>
              </w:rPr>
              <w:t>można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dokonać:</w:t>
            </w:r>
            <w:r>
              <w:rPr>
                <w:rFonts w:eastAsia="Times New Roman" w:cs="Times New Roman" w:ascii="Times New Roman" w:hAnsi="Times New Roman"/>
              </w:rPr>
              <w:t xml:space="preserve">   </w:t>
            </w:r>
          </w:p>
          <w:p>
            <w:pPr>
              <w:pStyle w:val="NormalWeb"/>
              <w:widowControl w:val="false"/>
              <w:numPr>
                <w:ilvl w:val="0"/>
                <w:numId w:val="4"/>
              </w:numPr>
              <w:spacing w:lineRule="atLeast" w:line="20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>w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kasie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tut.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Starostwa</w:t>
            </w:r>
            <w:r>
              <w:rPr>
                <w:rFonts w:eastAsia="Times New Roman" w:cs="Times New Roman" w:ascii="Times New Roman" w:hAnsi="Times New Roman"/>
              </w:rPr>
              <w:t xml:space="preserve">  </w:t>
            </w:r>
          </w:p>
          <w:p>
            <w:pPr>
              <w:pStyle w:val="NormalWeb"/>
              <w:widowControl w:val="false"/>
              <w:numPr>
                <w:ilvl w:val="0"/>
                <w:numId w:val="4"/>
              </w:numPr>
              <w:spacing w:lineRule="atLeast" w:line="20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>w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kasach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Urzędu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Miasta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Ciechanów</w:t>
            </w:r>
            <w:r>
              <w:rPr>
                <w:rFonts w:eastAsia="Times New Roman" w:cs="Times New Roman" w:ascii="Times New Roman" w:hAnsi="Times New Roman"/>
              </w:rPr>
              <w:t xml:space="preserve">  </w:t>
            </w:r>
            <w:r>
              <w:rPr>
                <w:rFonts w:cs="Times New Roman" w:ascii="Times New Roman" w:hAnsi="Times New Roman"/>
              </w:rPr>
              <w:t>Nr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konta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</w:rPr>
              <w:t>81 1600 1462 1837 0686 3000 0001</w:t>
            </w:r>
            <w:r>
              <w:rPr>
                <w:rFonts w:cs="Times New Roman" w:ascii="Times New Roman" w:hAnsi="Times New Roman"/>
              </w:rPr>
              <w:br/>
            </w:r>
          </w:p>
        </w:tc>
      </w:tr>
      <w:tr>
        <w:trPr/>
        <w:tc>
          <w:tcPr>
            <w:tcW w:w="92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VII. DRUKI WNIOSKÓW</w:t>
            </w:r>
          </w:p>
        </w:tc>
      </w:tr>
      <w:tr>
        <w:trPr/>
        <w:tc>
          <w:tcPr>
            <w:tcW w:w="92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Zgodnie ze wzorem: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jc w:val="both"/>
              <w:rPr/>
            </w:pPr>
            <w:r>
              <w:rPr/>
              <w:t>wniosek o przeniesienie praw i obowiązków wynikających ze zgłoszenia, wobec którego organ nie wniósł sprzeciwu (PB-11);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jc w:val="both"/>
              <w:rPr/>
            </w:pPr>
            <w:r>
              <w:rPr/>
              <w:t>oświadczenie o posiadanym prawie do dysponowania nieruchomością na cele budowlane (PB-</w:t>
            </w:r>
            <w:r>
              <w:rPr/>
              <w:t>5</w:t>
            </w:r>
            <w:r>
              <w:rPr/>
              <w:t>).</w:t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2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VIII.  PROCEDURA  ODWOŁAWCZA</w:t>
            </w:r>
          </w:p>
        </w:tc>
      </w:tr>
      <w:tr>
        <w:trPr/>
        <w:tc>
          <w:tcPr>
            <w:tcW w:w="92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Stronom postępowania przysługuje prawo wniesienia odwołanie od decyzji do Wojewody Mazowieckiego za pośrednictwem Starosty Ciechanowskiego w terminie 14 dni od daty doręczenia decyzji. </w:t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>* do terminu nie wlicza się terminów przewidzianych w przepisach prawa do dokonania określonych czynności, okresów zawieszenia postępowania oraz okresów opóźnień spowodowanych z winy strony albo z przyczyn niezależnych  od organu.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Data: </w:t>
      </w:r>
      <w:r>
        <w:rPr/>
        <w:t>12.07</w:t>
      </w:r>
      <w:r>
        <w:rPr/>
        <w:t>.2021 r.</w:t>
      </w:r>
    </w:p>
    <w:p>
      <w:pPr>
        <w:pStyle w:val="Normal"/>
        <w:jc w:val="both"/>
        <w:rPr/>
      </w:pPr>
      <w:r>
        <w:rPr/>
        <w:t xml:space="preserve">Sporządziła: </w:t>
      </w:r>
      <w:r>
        <w:rPr/>
        <w:t>Kamila Ostasz</w:t>
      </w:r>
    </w:p>
    <w:p>
      <w:pPr>
        <w:pStyle w:val="Normal"/>
        <w:jc w:val="both"/>
        <w:rPr/>
      </w:pPr>
      <w:r>
        <w:rPr/>
        <w:t>Zatwierdził: Andrzej Kalinowski</w:t>
      </w:r>
      <w:bookmarkStart w:id="0" w:name="_Hlk67645586"/>
      <w:bookmarkEnd w:id="0"/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Unicode MS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sz w:val="16"/>
        <w:rFonts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sz w:val="16"/>
        <w:rFonts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f37d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pl-PL" w:bidi="ar-SA"/>
    </w:rPr>
  </w:style>
  <w:style w:type="paragraph" w:styleId="Nagwek3">
    <w:name w:val="Heading 3"/>
    <w:basedOn w:val="Normal"/>
    <w:next w:val="Normal"/>
    <w:link w:val="Nagwek3Znak"/>
    <w:qFormat/>
    <w:rsid w:val="008f37df"/>
    <w:pPr>
      <w:keepNext w:val="true"/>
      <w:numPr>
        <w:ilvl w:val="2"/>
        <w:numId w:val="1"/>
      </w:numPr>
      <w:jc w:val="center"/>
      <w:outlineLvl w:val="2"/>
    </w:pPr>
    <w:rPr>
      <w:b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Nagwek3"/>
    <w:qFormat/>
    <w:rsid w:val="008f37df"/>
    <w:rPr>
      <w:rFonts w:ascii="Times New Roman" w:hAnsi="Times New Roman" w:eastAsia="Times New Roman" w:cs="Times New Roman"/>
      <w:b/>
      <w:sz w:val="20"/>
      <w:szCs w:val="24"/>
      <w:lang w:eastAsia="zh-C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rsid w:val="008f37df"/>
    <w:pPr>
      <w:spacing w:before="280" w:after="280"/>
    </w:pPr>
    <w:rPr>
      <w:rFonts w:ascii="Arial Unicode MS" w:hAnsi="Arial Unicode MS" w:eastAsia="Arial Unicode MS" w:cs="Arial Unicode MS"/>
    </w:rPr>
  </w:style>
  <w:style w:type="paragraph" w:styleId="NormalnyWeb1" w:customStyle="1">
    <w:name w:val="Normalny (Web)1"/>
    <w:basedOn w:val="Normal"/>
    <w:qFormat/>
    <w:rsid w:val="008f37df"/>
    <w:pPr>
      <w:overflowPunct w:val="true"/>
      <w:spacing w:before="100" w:after="100"/>
    </w:pPr>
    <w:rPr>
      <w:szCs w:val="20"/>
    </w:rPr>
  </w:style>
  <w:style w:type="paragraph" w:styleId="WWTekstpodstawowy3" w:customStyle="1">
    <w:name w:val="WW-Tekst podstawowy 3"/>
    <w:basedOn w:val="Normal"/>
    <w:qFormat/>
    <w:rsid w:val="008f37df"/>
    <w:pPr>
      <w:jc w:val="center"/>
    </w:pPr>
    <w:rPr>
      <w:b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LibreOffice/7.1.0.3$Windows_X86_64 LibreOffice_project/f6099ecf3d29644b5008cc8f48f42f4a40986e4c</Application>
  <AppVersion>15.0000</AppVersion>
  <Pages>2</Pages>
  <Words>450</Words>
  <Characters>2699</Characters>
  <CharactersWithSpaces>3202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2021-03-25T14:55:00Z</dcterms:created>
  <dc:creator>ewelina.bielska</dc:creator>
  <dc:description/>
  <dc:language>pl-PL</dc:language>
  <cp:lastModifiedBy/>
  <dcterms:modified xsi:type="dcterms:W3CDTF">2021-07-12T13:31:44Z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